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140" w:rsidRDefault="00DF7A10" w:rsidP="00230923">
      <w:pPr>
        <w:spacing w:line="480" w:lineRule="auto"/>
        <w:jc w:val="center"/>
        <w:rPr>
          <w:rFonts w:ascii="Times New Roman" w:hAnsi="Times New Roman" w:cs="Times New Roman"/>
          <w:sz w:val="24"/>
          <w:szCs w:val="24"/>
        </w:rPr>
      </w:pPr>
    </w:p>
    <w:p w:rsidR="00C27140" w:rsidRDefault="00DF7A10" w:rsidP="00230923">
      <w:pPr>
        <w:spacing w:line="480" w:lineRule="auto"/>
        <w:jc w:val="center"/>
        <w:rPr>
          <w:rFonts w:ascii="Times New Roman" w:hAnsi="Times New Roman" w:cs="Times New Roman"/>
          <w:sz w:val="24"/>
          <w:szCs w:val="24"/>
        </w:rPr>
      </w:pPr>
    </w:p>
    <w:p w:rsidR="00C27140" w:rsidRDefault="00DF7A10" w:rsidP="00230923">
      <w:pPr>
        <w:spacing w:line="480" w:lineRule="auto"/>
        <w:jc w:val="center"/>
        <w:rPr>
          <w:rFonts w:ascii="Times New Roman" w:hAnsi="Times New Roman" w:cs="Times New Roman"/>
          <w:sz w:val="24"/>
          <w:szCs w:val="24"/>
        </w:rPr>
      </w:pPr>
    </w:p>
    <w:p w:rsidR="00C27140" w:rsidRDefault="00DF7A10" w:rsidP="00230923">
      <w:pPr>
        <w:spacing w:line="480" w:lineRule="auto"/>
        <w:jc w:val="center"/>
        <w:rPr>
          <w:rFonts w:ascii="Times New Roman" w:hAnsi="Times New Roman" w:cs="Times New Roman"/>
          <w:sz w:val="24"/>
          <w:szCs w:val="24"/>
        </w:rPr>
      </w:pPr>
    </w:p>
    <w:p w:rsidR="008474F7" w:rsidRDefault="008474F7" w:rsidP="00230923">
      <w:pPr>
        <w:spacing w:line="480" w:lineRule="auto"/>
        <w:jc w:val="center"/>
        <w:rPr>
          <w:rFonts w:ascii="Times New Roman" w:hAnsi="Times New Roman" w:cs="Times New Roman"/>
          <w:sz w:val="24"/>
          <w:szCs w:val="24"/>
        </w:rPr>
      </w:pPr>
    </w:p>
    <w:p w:rsidR="00E27363" w:rsidRPr="00230923" w:rsidRDefault="00DF7A10"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Summary of Qualitative and Quantitative Studies</w:t>
      </w:r>
    </w:p>
    <w:p w:rsidR="00230923" w:rsidRPr="00230923" w:rsidRDefault="00DF7A10"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Name</w:t>
      </w:r>
      <w:r>
        <w:rPr>
          <w:rFonts w:ascii="Times New Roman" w:hAnsi="Times New Roman" w:cs="Times New Roman"/>
          <w:sz w:val="24"/>
          <w:szCs w:val="24"/>
        </w:rPr>
        <w:t xml:space="preserve"> of student</w:t>
      </w:r>
    </w:p>
    <w:p w:rsidR="00230923" w:rsidRPr="00230923" w:rsidRDefault="00DF7A10"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Name</w:t>
      </w:r>
      <w:r w:rsidR="008474F7">
        <w:rPr>
          <w:rFonts w:ascii="Times New Roman" w:hAnsi="Times New Roman" w:cs="Times New Roman"/>
          <w:sz w:val="24"/>
          <w:szCs w:val="24"/>
        </w:rPr>
        <w:t xml:space="preserve"> of instructor</w:t>
      </w:r>
    </w:p>
    <w:p w:rsidR="00230923" w:rsidRPr="00230923" w:rsidRDefault="008474F7" w:rsidP="002309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230923" w:rsidRDefault="00DF7A10" w:rsidP="008474F7">
      <w:pPr>
        <w:spacing w:line="480" w:lineRule="auto"/>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82770B" w:rsidRPr="0082770B" w:rsidRDefault="00DF7A10" w:rsidP="00C27140">
      <w:pPr>
        <w:spacing w:line="480" w:lineRule="auto"/>
        <w:rPr>
          <w:rFonts w:ascii="Times New Roman" w:hAnsi="Times New Roman" w:cs="Times New Roman"/>
          <w:sz w:val="24"/>
          <w:szCs w:val="24"/>
        </w:rPr>
      </w:pPr>
      <w:r w:rsidRPr="0082770B">
        <w:rPr>
          <w:rFonts w:ascii="Times New Roman" w:hAnsi="Times New Roman" w:cs="Times New Roman"/>
          <w:sz w:val="24"/>
          <w:szCs w:val="24"/>
        </w:rPr>
        <w:lastRenderedPageBreak/>
        <w:t>Similarities and differences</w:t>
      </w:r>
    </w:p>
    <w:p w:rsidR="0082770B" w:rsidRPr="0082770B" w:rsidRDefault="00DF7A10" w:rsidP="002B233F">
      <w:pPr>
        <w:spacing w:line="480" w:lineRule="auto"/>
        <w:ind w:firstLine="720"/>
        <w:rPr>
          <w:rFonts w:ascii="Times New Roman" w:hAnsi="Times New Roman" w:cs="Times New Roman"/>
          <w:sz w:val="24"/>
          <w:szCs w:val="24"/>
        </w:rPr>
      </w:pPr>
      <w:r w:rsidRPr="0082770B">
        <w:rPr>
          <w:rFonts w:ascii="Times New Roman" w:hAnsi="Times New Roman" w:cs="Times New Roman"/>
          <w:sz w:val="24"/>
          <w:szCs w:val="24"/>
        </w:rPr>
        <w:t xml:space="preserve">Nosocomial infections are infections that are contracted in the process of seeking and receiving medical </w:t>
      </w:r>
      <w:r w:rsidRPr="0082770B">
        <w:rPr>
          <w:rFonts w:ascii="Times New Roman" w:hAnsi="Times New Roman" w:cs="Times New Roman"/>
          <w:sz w:val="24"/>
          <w:szCs w:val="24"/>
        </w:rPr>
        <w:t>attention. As one tries to look for answers and solutions to their present ailments, they end up contracting other infections that are as a result of the process. The manner in which this happens can be said to be involuntary and void of intentions from th</w:t>
      </w:r>
      <w:r w:rsidRPr="0082770B">
        <w:rPr>
          <w:rFonts w:ascii="Times New Roman" w:hAnsi="Times New Roman" w:cs="Times New Roman"/>
          <w:sz w:val="24"/>
          <w:szCs w:val="24"/>
        </w:rPr>
        <w:t xml:space="preserve">e medical practitioners. However, it does not necessarily rule out negligence while it strongly points out to the condition of the facilities of medical care. Nosocomial infections have been prevalent; occurring at rates and percentages that are enough to </w:t>
      </w:r>
      <w:r w:rsidRPr="0082770B">
        <w:rPr>
          <w:rFonts w:ascii="Times New Roman" w:hAnsi="Times New Roman" w:cs="Times New Roman"/>
          <w:sz w:val="24"/>
          <w:szCs w:val="24"/>
        </w:rPr>
        <w:t>raise the alarm and concerns to chart for solutions. Interestingly, nosocomial infections are more pronounced among the elderly than the situation is among patients who are below 65 years of age</w:t>
      </w:r>
      <w:r w:rsidRPr="001E0009">
        <w:rPr>
          <w:rFonts w:ascii="Times New Roman" w:hAnsi="Times New Roman" w:cs="Times New Roman"/>
          <w:sz w:val="24"/>
          <w:szCs w:val="24"/>
        </w:rPr>
        <w:t xml:space="preserve"> </w:t>
      </w:r>
      <w:r>
        <w:rPr>
          <w:rFonts w:ascii="Times New Roman" w:hAnsi="Times New Roman" w:cs="Times New Roman"/>
          <w:sz w:val="24"/>
          <w:szCs w:val="24"/>
        </w:rPr>
        <w:t>(</w:t>
      </w:r>
      <w:r w:rsidRPr="001E0009">
        <w:rPr>
          <w:rFonts w:ascii="Times New Roman" w:hAnsi="Times New Roman" w:cs="Times New Roman"/>
          <w:sz w:val="24"/>
          <w:szCs w:val="24"/>
        </w:rPr>
        <w:t>Cresw</w:t>
      </w:r>
      <w:r>
        <w:rPr>
          <w:rFonts w:ascii="Times New Roman" w:hAnsi="Times New Roman" w:cs="Times New Roman"/>
          <w:sz w:val="24"/>
          <w:szCs w:val="24"/>
        </w:rPr>
        <w:t>ell &amp; Creswell,</w:t>
      </w:r>
      <w:r w:rsidRPr="001E0009">
        <w:rPr>
          <w:rFonts w:ascii="Times New Roman" w:hAnsi="Times New Roman" w:cs="Times New Roman"/>
          <w:sz w:val="24"/>
          <w:szCs w:val="24"/>
        </w:rPr>
        <w:t>2017). </w:t>
      </w:r>
    </w:p>
    <w:p w:rsidR="0082770B" w:rsidRPr="0082770B" w:rsidRDefault="00DF7A10"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Similarities</w:t>
      </w:r>
    </w:p>
    <w:p w:rsidR="0082770B" w:rsidRPr="0082770B" w:rsidRDefault="00DF7A10" w:rsidP="002B233F">
      <w:pPr>
        <w:spacing w:line="480" w:lineRule="auto"/>
        <w:ind w:firstLine="720"/>
        <w:rPr>
          <w:rFonts w:ascii="Times New Roman" w:hAnsi="Times New Roman" w:cs="Times New Roman"/>
          <w:sz w:val="24"/>
          <w:szCs w:val="24"/>
        </w:rPr>
      </w:pPr>
      <w:r w:rsidRPr="0082770B">
        <w:rPr>
          <w:rFonts w:ascii="Times New Roman" w:hAnsi="Times New Roman" w:cs="Times New Roman"/>
          <w:sz w:val="24"/>
          <w:szCs w:val="24"/>
        </w:rPr>
        <w:t>The four articles a</w:t>
      </w:r>
      <w:r w:rsidRPr="0082770B">
        <w:rPr>
          <w:rFonts w:ascii="Times New Roman" w:hAnsi="Times New Roman" w:cs="Times New Roman"/>
          <w:sz w:val="24"/>
          <w:szCs w:val="24"/>
        </w:rPr>
        <w:t>s having been presented are premised on addressing nosocomial infections. They all aim at bringing to light the rates and prevalence of these infections among patients. Additionally, all the articles are conducting these studies among a particular group of</w:t>
      </w:r>
      <w:r w:rsidRPr="0082770B">
        <w:rPr>
          <w:rFonts w:ascii="Times New Roman" w:hAnsi="Times New Roman" w:cs="Times New Roman"/>
          <w:sz w:val="24"/>
          <w:szCs w:val="24"/>
        </w:rPr>
        <w:t xml:space="preserve"> the demographic distribution. Patients above 65 years of age, who are defined to be the elderly, have been found to have a host immune system that is friendly to these infections. As such all the articles, therefore, set to determine the prevalence of the</w:t>
      </w:r>
      <w:r w:rsidRPr="0082770B">
        <w:rPr>
          <w:rFonts w:ascii="Times New Roman" w:hAnsi="Times New Roman" w:cs="Times New Roman"/>
          <w:sz w:val="24"/>
          <w:szCs w:val="24"/>
        </w:rPr>
        <w:t xml:space="preserve"> various nosocomial infections among these patients</w:t>
      </w:r>
      <w:r w:rsidRPr="001E0009">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w:t>
      </w:r>
      <w:r>
        <w:rPr>
          <w:rFonts w:ascii="Times New Roman" w:hAnsi="Times New Roman" w:cs="Times New Roman"/>
          <w:sz w:val="24"/>
          <w:szCs w:val="24"/>
        </w:rPr>
        <w:t>Dixon-Woods &amp;Agarwal &amp;</w:t>
      </w:r>
      <w:r w:rsidRPr="001E0009">
        <w:rPr>
          <w:rFonts w:ascii="Times New Roman" w:hAnsi="Times New Roman" w:cs="Times New Roman"/>
          <w:sz w:val="24"/>
          <w:szCs w:val="24"/>
        </w:rPr>
        <w:t>Jone</w:t>
      </w:r>
      <w:r>
        <w:rPr>
          <w:rFonts w:ascii="Times New Roman" w:hAnsi="Times New Roman" w:cs="Times New Roman"/>
          <w:sz w:val="24"/>
          <w:szCs w:val="24"/>
        </w:rPr>
        <w:t>s &amp;Young &amp; Sutton,</w:t>
      </w:r>
      <w:r w:rsidRPr="001E0009">
        <w:rPr>
          <w:rFonts w:ascii="Times New Roman" w:hAnsi="Times New Roman" w:cs="Times New Roman"/>
          <w:sz w:val="24"/>
          <w:szCs w:val="24"/>
        </w:rPr>
        <w:t xml:space="preserve"> 2005).</w:t>
      </w:r>
    </w:p>
    <w:p w:rsidR="002B233F" w:rsidRDefault="00DF7A10" w:rsidP="002B233F">
      <w:pPr>
        <w:spacing w:line="480" w:lineRule="auto"/>
        <w:ind w:firstLine="720"/>
        <w:rPr>
          <w:rFonts w:ascii="Times New Roman" w:hAnsi="Times New Roman" w:cs="Times New Roman"/>
          <w:sz w:val="24"/>
          <w:szCs w:val="24"/>
        </w:rPr>
      </w:pPr>
    </w:p>
    <w:p w:rsidR="002B233F" w:rsidRDefault="00DF7A10" w:rsidP="002B233F">
      <w:pPr>
        <w:spacing w:line="480" w:lineRule="auto"/>
        <w:ind w:firstLine="720"/>
        <w:rPr>
          <w:rFonts w:ascii="Times New Roman" w:hAnsi="Times New Roman" w:cs="Times New Roman"/>
          <w:sz w:val="24"/>
          <w:szCs w:val="24"/>
        </w:rPr>
      </w:pPr>
    </w:p>
    <w:p w:rsidR="0082770B" w:rsidRPr="0082770B" w:rsidRDefault="00DF7A10" w:rsidP="002B233F">
      <w:pPr>
        <w:spacing w:line="480" w:lineRule="auto"/>
        <w:ind w:firstLine="720"/>
        <w:rPr>
          <w:rFonts w:ascii="Times New Roman" w:hAnsi="Times New Roman" w:cs="Times New Roman"/>
          <w:sz w:val="24"/>
          <w:szCs w:val="24"/>
        </w:rPr>
      </w:pPr>
      <w:r w:rsidRPr="0082770B">
        <w:rPr>
          <w:rFonts w:ascii="Times New Roman" w:hAnsi="Times New Roman" w:cs="Times New Roman"/>
          <w:sz w:val="24"/>
          <w:szCs w:val="24"/>
        </w:rPr>
        <w:lastRenderedPageBreak/>
        <w:t xml:space="preserve">All the articles have their studies conducted in their respective areas with the collaboration of hospitals. Interestingly, the articles address </w:t>
      </w:r>
      <w:r w:rsidRPr="0082770B">
        <w:rPr>
          <w:rFonts w:ascii="Times New Roman" w:hAnsi="Times New Roman" w:cs="Times New Roman"/>
          <w:sz w:val="24"/>
          <w:szCs w:val="24"/>
        </w:rPr>
        <w:t xml:space="preserve">studies. An assumption appears evident in all the articles. There is no mention of the difference based on sex among the sample sizes that are used by all the articles. In essence, this means there is an assumption that each patient has an equal chance of </w:t>
      </w:r>
      <w:r w:rsidRPr="0082770B">
        <w:rPr>
          <w:rFonts w:ascii="Times New Roman" w:hAnsi="Times New Roman" w:cs="Times New Roman"/>
          <w:sz w:val="24"/>
          <w:szCs w:val="24"/>
        </w:rPr>
        <w:t>contracting the infection without regard to whether they are male or female.</w:t>
      </w:r>
    </w:p>
    <w:p w:rsidR="0082770B" w:rsidRPr="0082770B" w:rsidRDefault="00DF7A10"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Differences</w:t>
      </w:r>
    </w:p>
    <w:p w:rsidR="0082770B" w:rsidRPr="0082770B" w:rsidRDefault="00DF7A10"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 xml:space="preserve"> </w:t>
      </w:r>
      <w:r>
        <w:rPr>
          <w:rFonts w:ascii="Times New Roman" w:hAnsi="Times New Roman" w:cs="Times New Roman"/>
          <w:sz w:val="24"/>
          <w:szCs w:val="24"/>
        </w:rPr>
        <w:tab/>
      </w:r>
      <w:r w:rsidRPr="0082770B">
        <w:rPr>
          <w:rFonts w:ascii="Times New Roman" w:hAnsi="Times New Roman" w:cs="Times New Roman"/>
          <w:sz w:val="24"/>
          <w:szCs w:val="24"/>
        </w:rPr>
        <w:t xml:space="preserve">The general topic being handle is nosocomial infections. However, each article addresses a different issue of interest in this regard. Ahoyo et al. studies the </w:t>
      </w:r>
      <w:r w:rsidRPr="0082770B">
        <w:rPr>
          <w:rFonts w:ascii="Times New Roman" w:hAnsi="Times New Roman" w:cs="Times New Roman"/>
          <w:sz w:val="24"/>
          <w:szCs w:val="24"/>
        </w:rPr>
        <w:t>prevalence of nosocomial infections and anti-infective therapy and conducts this as a universal concept. It is, in fact, the only article that explores this issue in Africa.  Ozdemir et al. present this issue with a particular emphasis on a specific sectio</w:t>
      </w:r>
      <w:r w:rsidRPr="0082770B">
        <w:rPr>
          <w:rFonts w:ascii="Times New Roman" w:hAnsi="Times New Roman" w:cs="Times New Roman"/>
          <w:sz w:val="24"/>
          <w:szCs w:val="24"/>
        </w:rPr>
        <w:t>n of the hospital which is the ICU while Stephen et al. highlight the Bloodstream infection and clinical sepsis. While this is so, Mizuha et al., focus on the determinants of chronic obstructive pulmonary disease severity in the late elderly. Mizuha in thi</w:t>
      </w:r>
      <w:r w:rsidRPr="0082770B">
        <w:rPr>
          <w:rFonts w:ascii="Times New Roman" w:hAnsi="Times New Roman" w:cs="Times New Roman"/>
          <w:sz w:val="24"/>
          <w:szCs w:val="24"/>
        </w:rPr>
        <w:t>s article presents a comparative analysis, unlike the other three s</w:t>
      </w:r>
      <w:bookmarkStart w:id="0" w:name="_GoBack"/>
      <w:bookmarkEnd w:id="0"/>
      <w:r w:rsidRPr="0082770B">
        <w:rPr>
          <w:rFonts w:ascii="Times New Roman" w:hAnsi="Times New Roman" w:cs="Times New Roman"/>
          <w:sz w:val="24"/>
          <w:szCs w:val="24"/>
        </w:rPr>
        <w:t xml:space="preserve">tudies. The article explores the determinants of pulmonary contractions among the elderly while comparing its prevalence with the young patients. </w:t>
      </w:r>
    </w:p>
    <w:p w:rsidR="002B233F" w:rsidRDefault="00DF7A10" w:rsidP="002B233F">
      <w:pPr>
        <w:spacing w:line="480" w:lineRule="auto"/>
        <w:ind w:firstLine="720"/>
        <w:rPr>
          <w:rFonts w:ascii="Times New Roman" w:hAnsi="Times New Roman" w:cs="Times New Roman"/>
          <w:sz w:val="24"/>
          <w:szCs w:val="24"/>
        </w:rPr>
      </w:pPr>
    </w:p>
    <w:p w:rsidR="002B233F" w:rsidRDefault="00DF7A10" w:rsidP="002B233F">
      <w:pPr>
        <w:spacing w:line="480" w:lineRule="auto"/>
        <w:ind w:firstLine="720"/>
        <w:rPr>
          <w:rFonts w:ascii="Times New Roman" w:hAnsi="Times New Roman" w:cs="Times New Roman"/>
          <w:sz w:val="24"/>
          <w:szCs w:val="24"/>
        </w:rPr>
      </w:pPr>
    </w:p>
    <w:p w:rsidR="002B233F" w:rsidRDefault="00DF7A10" w:rsidP="002B233F">
      <w:pPr>
        <w:spacing w:line="480" w:lineRule="auto"/>
        <w:ind w:firstLine="720"/>
        <w:rPr>
          <w:rFonts w:ascii="Times New Roman" w:hAnsi="Times New Roman" w:cs="Times New Roman"/>
          <w:sz w:val="24"/>
          <w:szCs w:val="24"/>
        </w:rPr>
      </w:pPr>
    </w:p>
    <w:p w:rsidR="0082770B" w:rsidRPr="0082770B" w:rsidRDefault="00DF7A10" w:rsidP="002B233F">
      <w:pPr>
        <w:spacing w:line="480" w:lineRule="auto"/>
        <w:ind w:firstLine="720"/>
        <w:rPr>
          <w:rFonts w:ascii="Times New Roman" w:hAnsi="Times New Roman" w:cs="Times New Roman"/>
          <w:sz w:val="24"/>
          <w:szCs w:val="24"/>
        </w:rPr>
      </w:pPr>
      <w:r w:rsidRPr="0082770B">
        <w:rPr>
          <w:rFonts w:ascii="Times New Roman" w:hAnsi="Times New Roman" w:cs="Times New Roman"/>
          <w:sz w:val="24"/>
          <w:szCs w:val="24"/>
        </w:rPr>
        <w:lastRenderedPageBreak/>
        <w:t>The</w:t>
      </w:r>
      <w:r w:rsidRPr="0082770B">
        <w:rPr>
          <w:rFonts w:ascii="Times New Roman" w:hAnsi="Times New Roman" w:cs="Times New Roman"/>
          <w:sz w:val="24"/>
          <w:szCs w:val="24"/>
        </w:rPr>
        <w:t xml:space="preserve"> methods of analysis as used by the studies are equally different. While Stephen et al. and Mizuha employ quantitative data analysis, Ahoyo et al. and Ozdemir use qualitative design in their data analysis. Mizuha et al. present an exhaustive study. The stu</w:t>
      </w:r>
      <w:r w:rsidRPr="0082770B">
        <w:rPr>
          <w:rFonts w:ascii="Times New Roman" w:hAnsi="Times New Roman" w:cs="Times New Roman"/>
          <w:sz w:val="24"/>
          <w:szCs w:val="24"/>
        </w:rPr>
        <w:t>dy uses two designs; ANCOVA and the Turkey-Kramer post hoc analysis or an enhanced accuracy.  Stephen et al. employ the Poisson distribution model from data collected from microbiologic and x-ray reports at a confidence level of 95%. The other two articles</w:t>
      </w:r>
      <w:r w:rsidRPr="0082770B">
        <w:rPr>
          <w:rFonts w:ascii="Times New Roman" w:hAnsi="Times New Roman" w:cs="Times New Roman"/>
          <w:sz w:val="24"/>
          <w:szCs w:val="24"/>
        </w:rPr>
        <w:t xml:space="preserve"> use the qualitative approach in data analysis in deriving findings to their subjects of study</w:t>
      </w:r>
      <w:r w:rsidRPr="00933E14">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w:t>
      </w:r>
      <w:r>
        <w:rPr>
          <w:rFonts w:ascii="Times New Roman" w:hAnsi="Times New Roman" w:cs="Times New Roman"/>
          <w:sz w:val="24"/>
          <w:szCs w:val="24"/>
        </w:rPr>
        <w:t>Cooper &amp; Schindler &amp; Sun,</w:t>
      </w:r>
      <w:r w:rsidRPr="00933E14">
        <w:rPr>
          <w:rFonts w:ascii="Times New Roman" w:hAnsi="Times New Roman" w:cs="Times New Roman"/>
          <w:sz w:val="24"/>
          <w:szCs w:val="24"/>
        </w:rPr>
        <w:t>2006)</w:t>
      </w:r>
      <w:r w:rsidRPr="0082770B">
        <w:rPr>
          <w:rFonts w:ascii="Times New Roman" w:hAnsi="Times New Roman" w:cs="Times New Roman"/>
          <w:sz w:val="24"/>
          <w:szCs w:val="24"/>
        </w:rPr>
        <w:t>.</w:t>
      </w:r>
    </w:p>
    <w:p w:rsidR="00230923" w:rsidRDefault="00DF7A10" w:rsidP="002B233F">
      <w:pPr>
        <w:spacing w:line="480" w:lineRule="auto"/>
        <w:ind w:firstLine="720"/>
        <w:rPr>
          <w:rFonts w:ascii="Times New Roman" w:hAnsi="Times New Roman" w:cs="Times New Roman"/>
          <w:sz w:val="24"/>
          <w:szCs w:val="24"/>
        </w:rPr>
      </w:pPr>
      <w:r w:rsidRPr="0082770B">
        <w:rPr>
          <w:rFonts w:ascii="Times New Roman" w:hAnsi="Times New Roman" w:cs="Times New Roman"/>
          <w:sz w:val="24"/>
          <w:szCs w:val="24"/>
        </w:rPr>
        <w:t>The studies can be concluded to be aimed at addressing health concerns among the elderly sect of the population. They are intend</w:t>
      </w:r>
      <w:r w:rsidRPr="0082770B">
        <w:rPr>
          <w:rFonts w:ascii="Times New Roman" w:hAnsi="Times New Roman" w:cs="Times New Roman"/>
          <w:sz w:val="24"/>
          <w:szCs w:val="24"/>
        </w:rPr>
        <w:t>ed at establishing the prevalence of these diseases among these patients with the aim of provoking debates</w:t>
      </w:r>
      <w:r>
        <w:rPr>
          <w:rFonts w:ascii="Times New Roman" w:hAnsi="Times New Roman" w:cs="Times New Roman"/>
          <w:sz w:val="24"/>
          <w:szCs w:val="24"/>
        </w:rPr>
        <w:t>.</w:t>
      </w: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8474F7" w:rsidRDefault="008474F7" w:rsidP="008474F7">
      <w:pPr>
        <w:spacing w:line="480" w:lineRule="auto"/>
        <w:ind w:firstLine="720"/>
        <w:jc w:val="center"/>
        <w:rPr>
          <w:rFonts w:ascii="Times New Roman" w:hAnsi="Times New Roman" w:cs="Times New Roman"/>
          <w:sz w:val="24"/>
          <w:szCs w:val="24"/>
        </w:rPr>
      </w:pPr>
    </w:p>
    <w:p w:rsidR="002B233F" w:rsidRDefault="00DF7A10" w:rsidP="008474F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33E14" w:rsidRDefault="00DF7A10" w:rsidP="002B233F">
      <w:pPr>
        <w:spacing w:line="480" w:lineRule="auto"/>
        <w:ind w:firstLine="720"/>
        <w:rPr>
          <w:rFonts w:ascii="Times New Roman" w:hAnsi="Times New Roman" w:cs="Times New Roman"/>
          <w:sz w:val="24"/>
          <w:szCs w:val="24"/>
        </w:rPr>
      </w:pPr>
      <w:r w:rsidRPr="00933E14">
        <w:rPr>
          <w:rFonts w:ascii="Times New Roman" w:hAnsi="Times New Roman" w:cs="Times New Roman"/>
          <w:sz w:val="24"/>
          <w:szCs w:val="24"/>
        </w:rPr>
        <w:t>Cooper, D. R., Schindler, P. S., &amp; Sun, J. (2006). </w:t>
      </w:r>
      <w:r w:rsidRPr="00933E14">
        <w:rPr>
          <w:rFonts w:ascii="Times New Roman" w:hAnsi="Times New Roman" w:cs="Times New Roman"/>
          <w:i/>
          <w:iCs/>
          <w:sz w:val="24"/>
          <w:szCs w:val="24"/>
        </w:rPr>
        <w:t>Business research methods</w:t>
      </w:r>
      <w:r w:rsidRPr="00933E14">
        <w:rPr>
          <w:rFonts w:ascii="Times New Roman" w:hAnsi="Times New Roman" w:cs="Times New Roman"/>
          <w:sz w:val="24"/>
          <w:szCs w:val="24"/>
        </w:rPr>
        <w:t> (Vol. 9). New York: McGraw-Hill Irwin.</w:t>
      </w:r>
    </w:p>
    <w:p w:rsidR="00437FAD" w:rsidRDefault="00DF7A10" w:rsidP="002B233F">
      <w:pPr>
        <w:spacing w:line="480" w:lineRule="auto"/>
        <w:ind w:firstLine="720"/>
        <w:rPr>
          <w:rFonts w:ascii="Times New Roman" w:hAnsi="Times New Roman" w:cs="Times New Roman"/>
          <w:sz w:val="24"/>
          <w:szCs w:val="24"/>
        </w:rPr>
      </w:pPr>
      <w:r w:rsidRPr="001E0009">
        <w:rPr>
          <w:rFonts w:ascii="Times New Roman" w:hAnsi="Times New Roman" w:cs="Times New Roman"/>
          <w:sz w:val="24"/>
          <w:szCs w:val="24"/>
        </w:rPr>
        <w:t>Dixon-Woods, M., Agar</w:t>
      </w:r>
      <w:r w:rsidRPr="001E0009">
        <w:rPr>
          <w:rFonts w:ascii="Times New Roman" w:hAnsi="Times New Roman" w:cs="Times New Roman"/>
          <w:sz w:val="24"/>
          <w:szCs w:val="24"/>
        </w:rPr>
        <w:t>wal, S., Jones, D., Young, B., &amp; Sutton, A. (2005). Synthesizing qualitative and quantitative evidence: a review of possible methods. </w:t>
      </w:r>
      <w:r w:rsidRPr="001E0009">
        <w:rPr>
          <w:rFonts w:ascii="Times New Roman" w:hAnsi="Times New Roman" w:cs="Times New Roman"/>
          <w:i/>
          <w:iCs/>
          <w:sz w:val="24"/>
          <w:szCs w:val="24"/>
        </w:rPr>
        <w:t>Journal of health services research &amp; policy</w:t>
      </w:r>
      <w:r w:rsidRPr="001E0009">
        <w:rPr>
          <w:rFonts w:ascii="Times New Roman" w:hAnsi="Times New Roman" w:cs="Times New Roman"/>
          <w:sz w:val="24"/>
          <w:szCs w:val="24"/>
        </w:rPr>
        <w:t>, </w:t>
      </w:r>
      <w:r w:rsidRPr="001E0009">
        <w:rPr>
          <w:rFonts w:ascii="Times New Roman" w:hAnsi="Times New Roman" w:cs="Times New Roman"/>
          <w:i/>
          <w:iCs/>
          <w:sz w:val="24"/>
          <w:szCs w:val="24"/>
        </w:rPr>
        <w:t>10</w:t>
      </w:r>
      <w:r w:rsidRPr="001E0009">
        <w:rPr>
          <w:rFonts w:ascii="Times New Roman" w:hAnsi="Times New Roman" w:cs="Times New Roman"/>
          <w:sz w:val="24"/>
          <w:szCs w:val="24"/>
        </w:rPr>
        <w:t>(1), 45-53.</w:t>
      </w:r>
    </w:p>
    <w:p w:rsidR="001E0009" w:rsidRDefault="00DF7A10" w:rsidP="002B233F">
      <w:pPr>
        <w:spacing w:line="480" w:lineRule="auto"/>
        <w:ind w:firstLine="720"/>
        <w:rPr>
          <w:rFonts w:ascii="Times New Roman" w:hAnsi="Times New Roman" w:cs="Times New Roman"/>
          <w:sz w:val="24"/>
          <w:szCs w:val="24"/>
        </w:rPr>
      </w:pPr>
      <w:r w:rsidRPr="001E0009">
        <w:rPr>
          <w:rFonts w:ascii="Times New Roman" w:hAnsi="Times New Roman" w:cs="Times New Roman"/>
          <w:sz w:val="24"/>
          <w:szCs w:val="24"/>
        </w:rPr>
        <w:t>Creswell, J. W., &amp; Creswell, J. D. (2017). </w:t>
      </w:r>
      <w:r w:rsidRPr="001E0009">
        <w:rPr>
          <w:rFonts w:ascii="Times New Roman" w:hAnsi="Times New Roman" w:cs="Times New Roman"/>
          <w:i/>
          <w:iCs/>
          <w:sz w:val="24"/>
          <w:szCs w:val="24"/>
        </w:rPr>
        <w:t xml:space="preserve">Research design: </w:t>
      </w:r>
      <w:r w:rsidRPr="001E0009">
        <w:rPr>
          <w:rFonts w:ascii="Times New Roman" w:hAnsi="Times New Roman" w:cs="Times New Roman"/>
          <w:i/>
          <w:iCs/>
          <w:sz w:val="24"/>
          <w:szCs w:val="24"/>
        </w:rPr>
        <w:t>Qualitative, quantitative, and mixed methods approach</w:t>
      </w:r>
      <w:r w:rsidRPr="001E0009">
        <w:rPr>
          <w:rFonts w:ascii="Times New Roman" w:hAnsi="Times New Roman" w:cs="Times New Roman"/>
          <w:sz w:val="24"/>
          <w:szCs w:val="24"/>
        </w:rPr>
        <w:t>. Sage publications.</w:t>
      </w:r>
    </w:p>
    <w:p w:rsidR="002B233F" w:rsidRDefault="00DF7A10" w:rsidP="002B233F">
      <w:pPr>
        <w:spacing w:line="480" w:lineRule="auto"/>
        <w:rPr>
          <w:rFonts w:ascii="Times New Roman" w:hAnsi="Times New Roman" w:cs="Times New Roman"/>
          <w:sz w:val="24"/>
          <w:szCs w:val="24"/>
        </w:rPr>
      </w:pPr>
    </w:p>
    <w:p w:rsidR="00230923" w:rsidRDefault="00DF7A10" w:rsidP="00230923">
      <w:pPr>
        <w:spacing w:line="480" w:lineRule="auto"/>
        <w:jc w:val="center"/>
        <w:rPr>
          <w:rFonts w:ascii="Times New Roman" w:hAnsi="Times New Roman" w:cs="Times New Roman"/>
          <w:sz w:val="24"/>
          <w:szCs w:val="24"/>
        </w:rPr>
      </w:pPr>
    </w:p>
    <w:p w:rsidR="00230923" w:rsidRPr="00230923" w:rsidRDefault="00DF7A10" w:rsidP="00230923">
      <w:pPr>
        <w:spacing w:line="480" w:lineRule="auto"/>
        <w:jc w:val="center"/>
        <w:rPr>
          <w:rFonts w:ascii="Times New Roman" w:hAnsi="Times New Roman" w:cs="Times New Roman"/>
          <w:sz w:val="24"/>
          <w:szCs w:val="24"/>
        </w:rPr>
      </w:pPr>
    </w:p>
    <w:p w:rsidR="00230923" w:rsidRDefault="00DF7A10"/>
    <w:sectPr w:rsidR="00230923" w:rsidSect="002309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A10" w:rsidRDefault="00DF7A10" w:rsidP="001A6615">
      <w:pPr>
        <w:spacing w:after="0" w:line="240" w:lineRule="auto"/>
      </w:pPr>
      <w:r>
        <w:separator/>
      </w:r>
    </w:p>
  </w:endnote>
  <w:endnote w:type="continuationSeparator" w:id="0">
    <w:p w:rsidR="00DF7A10" w:rsidRDefault="00DF7A10" w:rsidP="001A66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A10" w:rsidRDefault="00DF7A10" w:rsidP="001A6615">
      <w:pPr>
        <w:spacing w:after="0" w:line="240" w:lineRule="auto"/>
      </w:pPr>
      <w:r>
        <w:separator/>
      </w:r>
    </w:p>
  </w:footnote>
  <w:footnote w:type="continuationSeparator" w:id="0">
    <w:p w:rsidR="00DF7A10" w:rsidRDefault="00DF7A10" w:rsidP="001A66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8174661"/>
      <w:docPartObj>
        <w:docPartGallery w:val="Page Numbers (Top of Page)"/>
        <w:docPartUnique/>
      </w:docPartObj>
    </w:sdtPr>
    <w:sdtEndPr>
      <w:rPr>
        <w:rFonts w:ascii="Times New Roman" w:hAnsi="Times New Roman" w:cs="Times New Roman"/>
        <w:noProof/>
        <w:sz w:val="24"/>
        <w:szCs w:val="24"/>
      </w:rPr>
    </w:sdtEndPr>
    <w:sdtContent>
      <w:p w:rsidR="00230923" w:rsidRPr="00230923" w:rsidRDefault="00DF7A10">
        <w:pPr>
          <w:pStyle w:val="Header"/>
          <w:jc w:val="right"/>
          <w:rPr>
            <w:rFonts w:ascii="Times New Roman" w:hAnsi="Times New Roman" w:cs="Times New Roman"/>
            <w:sz w:val="24"/>
            <w:szCs w:val="24"/>
          </w:rPr>
        </w:pPr>
        <w:r w:rsidRPr="00230923">
          <w:rPr>
            <w:rFonts w:ascii="Times New Roman" w:hAnsi="Times New Roman" w:cs="Times New Roman"/>
            <w:sz w:val="24"/>
            <w:szCs w:val="24"/>
          </w:rPr>
          <w:t>SUMMARY OF QUANTITATIVE AND QUALITATIVE STUDIES</w:t>
        </w:r>
        <w:r>
          <w:rPr>
            <w:rFonts w:ascii="Times New Roman" w:hAnsi="Times New Roman" w:cs="Times New Roman"/>
            <w:sz w:val="24"/>
            <w:szCs w:val="24"/>
          </w:rPr>
          <w:t xml:space="preserve">                                        </w:t>
        </w:r>
        <w:r w:rsidRPr="00230923">
          <w:rPr>
            <w:rFonts w:ascii="Times New Roman" w:hAnsi="Times New Roman" w:cs="Times New Roman"/>
            <w:sz w:val="24"/>
            <w:szCs w:val="24"/>
          </w:rPr>
          <w:t xml:space="preserve"> </w:t>
        </w:r>
        <w:r w:rsidR="001A6615" w:rsidRPr="00230923">
          <w:rPr>
            <w:rFonts w:ascii="Times New Roman" w:hAnsi="Times New Roman" w:cs="Times New Roman"/>
            <w:sz w:val="24"/>
            <w:szCs w:val="24"/>
          </w:rPr>
          <w:fldChar w:fldCharType="begin"/>
        </w:r>
        <w:r w:rsidRPr="00230923">
          <w:rPr>
            <w:rFonts w:ascii="Times New Roman" w:hAnsi="Times New Roman" w:cs="Times New Roman"/>
            <w:sz w:val="24"/>
            <w:szCs w:val="24"/>
          </w:rPr>
          <w:instrText xml:space="preserve"> PAGE   \* MERGEFORMAT </w:instrText>
        </w:r>
        <w:r w:rsidR="001A6615" w:rsidRPr="00230923">
          <w:rPr>
            <w:rFonts w:ascii="Times New Roman" w:hAnsi="Times New Roman" w:cs="Times New Roman"/>
            <w:sz w:val="24"/>
            <w:szCs w:val="24"/>
          </w:rPr>
          <w:fldChar w:fldCharType="separate"/>
        </w:r>
        <w:r w:rsidR="008474F7">
          <w:rPr>
            <w:rFonts w:ascii="Times New Roman" w:hAnsi="Times New Roman" w:cs="Times New Roman"/>
            <w:noProof/>
            <w:sz w:val="24"/>
            <w:szCs w:val="24"/>
          </w:rPr>
          <w:t>5</w:t>
        </w:r>
        <w:r w:rsidR="001A6615" w:rsidRPr="00230923">
          <w:rPr>
            <w:rFonts w:ascii="Times New Roman" w:hAnsi="Times New Roman" w:cs="Times New Roman"/>
            <w:noProof/>
            <w:sz w:val="24"/>
            <w:szCs w:val="24"/>
          </w:rPr>
          <w:fldChar w:fldCharType="end"/>
        </w:r>
      </w:p>
    </w:sdtContent>
  </w:sdt>
  <w:p w:rsidR="00230923" w:rsidRDefault="00DF7A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23" w:rsidRPr="002B233F" w:rsidRDefault="00DF7A10">
    <w:pPr>
      <w:pStyle w:val="Header"/>
      <w:rPr>
        <w:rFonts w:ascii="Times New Roman" w:hAnsi="Times New Roman" w:cs="Times New Roman"/>
        <w:sz w:val="24"/>
        <w:szCs w:val="24"/>
      </w:rPr>
    </w:pPr>
    <w:r w:rsidRPr="002B233F">
      <w:rPr>
        <w:rFonts w:ascii="Times New Roman" w:hAnsi="Times New Roman" w:cs="Times New Roman"/>
        <w:sz w:val="24"/>
        <w:szCs w:val="24"/>
      </w:rPr>
      <w:t>Running Head: SUMMARY O QUALITATIVE AND QUANTITATIVE STUDIES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A6615"/>
    <w:rsid w:val="001A6615"/>
    <w:rsid w:val="008474F7"/>
    <w:rsid w:val="00DF7A1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8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23"/>
  </w:style>
  <w:style w:type="paragraph" w:styleId="Footer">
    <w:name w:val="footer"/>
    <w:basedOn w:val="Normal"/>
    <w:link w:val="FooterChar"/>
    <w:uiPriority w:val="99"/>
    <w:unhideWhenUsed/>
    <w:rsid w:val="00230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2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A6615"/>
    <w:pPr>
      <w:spacing w:line="240" w:lineRule="auto"/>
    </w:pPr>
    <w:rPr>
      <w:sz w:val="20"/>
      <w:szCs w:val="20"/>
    </w:rPr>
  </w:style>
  <w:style w:type="character" w:customStyle="1" w:styleId="CommentTextChar">
    <w:name w:val="Comment Text Char"/>
    <w:basedOn w:val="DefaultParagraphFont"/>
    <w:link w:val="CommentText"/>
    <w:uiPriority w:val="99"/>
    <w:semiHidden/>
    <w:rsid w:val="001A6615"/>
    <w:rPr>
      <w:sz w:val="20"/>
      <w:szCs w:val="20"/>
    </w:rPr>
  </w:style>
  <w:style w:type="paragraph" w:styleId="BalloonText">
    <w:name w:val="Balloon Text"/>
    <w:basedOn w:val="Normal"/>
    <w:link w:val="BalloonTextChar"/>
    <w:uiPriority w:val="99"/>
    <w:semiHidden/>
    <w:unhideWhenUsed/>
    <w:rsid w:val="00847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4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6</cp:revision>
  <dcterms:created xsi:type="dcterms:W3CDTF">2018-03-10T14:14:00Z</dcterms:created>
  <dcterms:modified xsi:type="dcterms:W3CDTF">2018-03-10T19:41:00Z</dcterms:modified>
</cp:coreProperties>
</file>